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DE" w:rsidRDefault="00732BDE" w:rsidP="00732BDE">
      <w:pPr>
        <w:spacing w:after="0" w:line="240" w:lineRule="auto"/>
        <w:rPr>
          <w:rFonts w:ascii="Arial" w:eastAsia="Times New Roman" w:hAnsi="Arial" w:cs="Arial"/>
          <w:lang w:val="de-CH"/>
        </w:rPr>
      </w:pPr>
      <w:r>
        <w:rPr>
          <w:rFonts w:ascii="Arial" w:eastAsia="Times New Roman" w:hAnsi="Arial" w:cs="Arial"/>
          <w:lang w:val="de-CH"/>
        </w:rPr>
        <w:t>Sterlingmotoren arbeiten sehr energieeffizient. Sie sind noch nicht weit verbreitet.</w:t>
      </w:r>
    </w:p>
    <w:p w:rsidR="00732BDE" w:rsidRDefault="00732BDE" w:rsidP="00732BDE">
      <w:pPr>
        <w:spacing w:after="0" w:line="240" w:lineRule="auto"/>
        <w:rPr>
          <w:rFonts w:ascii="Arial" w:eastAsia="Times New Roman" w:hAnsi="Arial" w:cs="Arial"/>
          <w:lang w:val="de-CH"/>
        </w:rPr>
      </w:pPr>
    </w:p>
    <w:p w:rsidR="00732BDE" w:rsidRDefault="00732BDE" w:rsidP="00732BDE">
      <w:pPr>
        <w:spacing w:after="0" w:line="240" w:lineRule="auto"/>
        <w:rPr>
          <w:rFonts w:ascii="Arial" w:eastAsia="Times New Roman" w:hAnsi="Arial" w:cs="Arial"/>
          <w:lang w:val="de-CH"/>
        </w:rPr>
      </w:pPr>
      <w:r>
        <w:rPr>
          <w:rFonts w:ascii="Arial" w:eastAsia="Times New Roman" w:hAnsi="Arial" w:cs="Arial"/>
          <w:lang w:val="de-CH"/>
        </w:rPr>
        <w:t>Auftrag:</w:t>
      </w:r>
    </w:p>
    <w:p w:rsidR="00732BDE" w:rsidRDefault="00732BDE" w:rsidP="00732BDE">
      <w:pPr>
        <w:spacing w:after="0" w:line="240" w:lineRule="auto"/>
        <w:rPr>
          <w:rFonts w:ascii="Arial" w:eastAsia="Times New Roman" w:hAnsi="Arial" w:cs="Arial"/>
          <w:lang w:val="de-CH"/>
        </w:rPr>
      </w:pPr>
    </w:p>
    <w:p w:rsidR="00732BDE" w:rsidRPr="00DC1DA0" w:rsidRDefault="00732BDE" w:rsidP="00732BDE">
      <w:pPr>
        <w:pStyle w:val="Listenabsatz"/>
        <w:numPr>
          <w:ilvl w:val="0"/>
          <w:numId w:val="16"/>
        </w:numPr>
        <w:spacing w:after="0" w:line="240" w:lineRule="auto"/>
        <w:rPr>
          <w:rFonts w:ascii="Arial" w:eastAsia="Times New Roman" w:hAnsi="Arial" w:cs="Arial"/>
          <w:lang w:val="de-CH"/>
        </w:rPr>
      </w:pPr>
      <w:r w:rsidRPr="00DC1DA0">
        <w:rPr>
          <w:rFonts w:ascii="Arial" w:eastAsia="Times New Roman" w:hAnsi="Arial" w:cs="Arial"/>
          <w:lang w:val="de-CH"/>
        </w:rPr>
        <w:t xml:space="preserve">Lesen Sie den Text zum </w:t>
      </w:r>
      <w:r>
        <w:rPr>
          <w:rFonts w:ascii="Arial" w:eastAsia="Times New Roman" w:hAnsi="Arial" w:cs="Arial"/>
          <w:lang w:val="de-CH"/>
        </w:rPr>
        <w:t>Sterliongmotor</w:t>
      </w:r>
      <w:r w:rsidRPr="00DC1DA0">
        <w:rPr>
          <w:rFonts w:ascii="Arial" w:eastAsia="Times New Roman" w:hAnsi="Arial" w:cs="Arial"/>
          <w:lang w:val="de-CH"/>
        </w:rPr>
        <w:t xml:space="preserve"> sorgfältig.</w:t>
      </w:r>
    </w:p>
    <w:p w:rsidR="00732BDE" w:rsidRDefault="00732BDE" w:rsidP="00732BDE">
      <w:pPr>
        <w:pStyle w:val="Listenabsatz"/>
        <w:numPr>
          <w:ilvl w:val="0"/>
          <w:numId w:val="16"/>
        </w:numPr>
        <w:spacing w:after="0" w:line="240" w:lineRule="auto"/>
        <w:rPr>
          <w:rFonts w:ascii="Arial" w:eastAsia="Times New Roman" w:hAnsi="Arial" w:cs="Arial"/>
          <w:lang w:val="de-CH"/>
        </w:rPr>
      </w:pPr>
      <w:r w:rsidRPr="00DC1DA0">
        <w:rPr>
          <w:rFonts w:ascii="Arial" w:eastAsia="Times New Roman" w:hAnsi="Arial" w:cs="Arial"/>
          <w:lang w:val="de-CH"/>
        </w:rPr>
        <w:t xml:space="preserve">Legen Sie mit Flemo </w:t>
      </w:r>
      <w:r>
        <w:rPr>
          <w:rFonts w:ascii="Arial" w:eastAsia="Times New Roman" w:hAnsi="Arial" w:cs="Arial"/>
          <w:lang w:val="de-CH"/>
        </w:rPr>
        <w:t>die Bauweise des Sterlingmotors.</w:t>
      </w:r>
    </w:p>
    <w:p w:rsidR="00732BDE" w:rsidRDefault="00732BDE" w:rsidP="00732BDE">
      <w:pPr>
        <w:pStyle w:val="Listenabsatz"/>
        <w:numPr>
          <w:ilvl w:val="0"/>
          <w:numId w:val="16"/>
        </w:numPr>
        <w:spacing w:after="0" w:line="240" w:lineRule="auto"/>
        <w:rPr>
          <w:rFonts w:ascii="Arial" w:eastAsia="Times New Roman" w:hAnsi="Arial" w:cs="Arial"/>
          <w:lang w:val="de-CH"/>
        </w:rPr>
      </w:pPr>
      <w:r>
        <w:rPr>
          <w:rFonts w:ascii="Arial" w:eastAsia="Times New Roman" w:hAnsi="Arial" w:cs="Arial"/>
          <w:lang w:val="de-CH"/>
        </w:rPr>
        <w:t>Legen Sie mit Flemo die Funktionsweise des Sterlingmotors.</w:t>
      </w:r>
    </w:p>
    <w:p w:rsidR="00732BDE" w:rsidRDefault="00732BDE" w:rsidP="00732BDE">
      <w:pPr>
        <w:pStyle w:val="Listenabsatz"/>
        <w:spacing w:after="0" w:line="240" w:lineRule="auto"/>
        <w:rPr>
          <w:rFonts w:ascii="Arial" w:eastAsia="Times New Roman" w:hAnsi="Arial" w:cs="Arial"/>
          <w:lang w:val="de-CH"/>
        </w:rPr>
      </w:pPr>
    </w:p>
    <w:p w:rsidR="00732BDE" w:rsidRDefault="00732BDE" w:rsidP="00732BDE">
      <w:pPr>
        <w:pStyle w:val="Listenabsatz"/>
        <w:spacing w:after="0" w:line="240" w:lineRule="auto"/>
        <w:rPr>
          <w:rFonts w:ascii="Arial" w:eastAsia="Times New Roman" w:hAnsi="Arial" w:cs="Arial"/>
          <w:lang w:val="de-CH"/>
        </w:rPr>
      </w:pPr>
      <w:r>
        <w:rPr>
          <w:rFonts w:ascii="Arial" w:eastAsia="Times New Roman" w:hAnsi="Arial" w:cs="Arial"/>
          <w:lang w:val="de-CH"/>
        </w:rPr>
        <w:t>Zeit: 20 Minunten</w:t>
      </w:r>
      <w:r w:rsidRPr="00DC1DA0">
        <w:rPr>
          <w:rFonts w:ascii="Arial" w:eastAsia="Times New Roman" w:hAnsi="Arial" w:cs="Arial"/>
          <w:lang w:val="de-CH"/>
        </w:rPr>
        <w:t xml:space="preserve"> </w:t>
      </w:r>
    </w:p>
    <w:p w:rsidR="00732BDE" w:rsidRDefault="00732BDE" w:rsidP="00732BDE">
      <w:pPr>
        <w:pStyle w:val="Listenabsatz"/>
        <w:spacing w:after="0" w:line="240" w:lineRule="auto"/>
        <w:rPr>
          <w:rFonts w:ascii="Arial" w:eastAsia="Times New Roman" w:hAnsi="Arial" w:cs="Arial"/>
          <w:lang w:val="de-CH"/>
        </w:rPr>
      </w:pPr>
    </w:p>
    <w:p w:rsidR="00732BDE" w:rsidRDefault="00732BDE" w:rsidP="00732BDE">
      <w:pPr>
        <w:pStyle w:val="Listenabsatz"/>
        <w:numPr>
          <w:ilvl w:val="0"/>
          <w:numId w:val="16"/>
        </w:numPr>
        <w:spacing w:after="0" w:line="240" w:lineRule="auto"/>
        <w:rPr>
          <w:rFonts w:ascii="Arial" w:eastAsia="Times New Roman" w:hAnsi="Arial" w:cs="Arial"/>
          <w:lang w:val="de-CH"/>
        </w:rPr>
      </w:pPr>
      <w:r>
        <w:rPr>
          <w:rFonts w:ascii="Arial" w:eastAsia="Times New Roman" w:hAnsi="Arial" w:cs="Arial"/>
          <w:lang w:val="de-CH"/>
        </w:rPr>
        <w:t>Erklären Sie Ihren Kolleginnen und Kollegen Bauart und Funktionsweise.</w:t>
      </w:r>
    </w:p>
    <w:p w:rsidR="00732BDE" w:rsidRPr="00DC1DA0" w:rsidRDefault="00732BDE" w:rsidP="00732BDE">
      <w:pPr>
        <w:pStyle w:val="Listenabsatz"/>
        <w:pBdr>
          <w:bottom w:val="single" w:sz="4" w:space="1" w:color="auto"/>
        </w:pBdr>
        <w:spacing w:after="0" w:line="240" w:lineRule="auto"/>
        <w:ind w:left="0"/>
        <w:rPr>
          <w:rFonts w:ascii="Arial" w:eastAsia="Times New Roman" w:hAnsi="Arial" w:cs="Arial"/>
          <w:lang w:val="de-CH"/>
        </w:rPr>
      </w:pPr>
    </w:p>
    <w:p w:rsidR="00732BDE" w:rsidRDefault="00732BDE" w:rsidP="00320752">
      <w:pPr>
        <w:rPr>
          <w:rFonts w:ascii="Arial" w:hAnsi="Arial" w:cs="Arial"/>
          <w:sz w:val="20"/>
          <w:szCs w:val="20"/>
          <w:lang w:val="de-CH"/>
        </w:rPr>
      </w:pPr>
    </w:p>
    <w:p w:rsidR="00320752" w:rsidRPr="00732BDE" w:rsidRDefault="00320752" w:rsidP="00320752">
      <w:pPr>
        <w:rPr>
          <w:rFonts w:ascii="Arial" w:hAnsi="Arial" w:cs="Arial"/>
          <w:vertAlign w:val="superscript"/>
          <w:lang w:val="de-CH"/>
        </w:rPr>
      </w:pPr>
      <w:r w:rsidRPr="00732BDE">
        <w:rPr>
          <w:rFonts w:ascii="Arial" w:hAnsi="Arial" w:cs="Arial"/>
          <w:lang w:val="de-CH"/>
        </w:rPr>
        <w:t xml:space="preserve">Der </w:t>
      </w:r>
      <w:r w:rsidRPr="00732BDE">
        <w:rPr>
          <w:rFonts w:ascii="Arial" w:hAnsi="Arial" w:cs="Arial"/>
          <w:b/>
          <w:bCs/>
          <w:lang w:val="de-CH"/>
        </w:rPr>
        <w:t>Stirlingmotor</w:t>
      </w:r>
      <w:r w:rsidRPr="00732BDE">
        <w:rPr>
          <w:rFonts w:ascii="Arial" w:hAnsi="Arial" w:cs="Arial"/>
          <w:lang w:val="de-CH"/>
        </w:rPr>
        <w:t xml:space="preserve">, auch Heißgasmotor genannt, ist eine </w:t>
      </w:r>
      <w:hyperlink r:id="rId7" w:tooltip="Wärmekraftmaschine" w:history="1">
        <w:r w:rsidRPr="00732BDE">
          <w:rPr>
            <w:rStyle w:val="Hyperlink"/>
            <w:rFonts w:ascii="Arial" w:hAnsi="Arial" w:cs="Arial"/>
            <w:lang w:val="de-CH"/>
          </w:rPr>
          <w:t>Wärmekraftmaschine</w:t>
        </w:r>
      </w:hyperlink>
      <w:r w:rsidRPr="00732BDE">
        <w:rPr>
          <w:rFonts w:ascii="Arial" w:hAnsi="Arial" w:cs="Arial"/>
          <w:lang w:val="de-CH"/>
        </w:rPr>
        <w:t xml:space="preserve">, in der ein abgeschlossenes Arbeitsgas wie Luft oder Helium von außen an zwei verschiedenen Bereichen abwechselnd erhitzt und gekühlt wird, um mechanische Energie zu erzeugen. Der Stirlingmotor arbeitet nach dem Prinzip eines </w:t>
      </w:r>
      <w:hyperlink r:id="rId8" w:tooltip="Thermodynamischer Kreisprozess" w:history="1">
        <w:r w:rsidRPr="00732BDE">
          <w:rPr>
            <w:rStyle w:val="Hyperlink"/>
            <w:rFonts w:ascii="Arial" w:hAnsi="Arial" w:cs="Arial"/>
            <w:lang w:val="de-CH"/>
          </w:rPr>
          <w:t>geschlossenen Kreisprozesses</w:t>
        </w:r>
      </w:hyperlink>
      <w:r w:rsidRPr="00732BDE">
        <w:rPr>
          <w:rFonts w:ascii="Arial" w:hAnsi="Arial" w:cs="Arial"/>
          <w:lang w:val="de-CH"/>
        </w:rPr>
        <w:t xml:space="preserve"> und ist ein Beispiel für die </w:t>
      </w:r>
      <w:hyperlink r:id="rId9" w:tooltip="Energieumwandlung" w:history="1">
        <w:r w:rsidRPr="00732BDE">
          <w:rPr>
            <w:rStyle w:val="Hyperlink"/>
            <w:rFonts w:ascii="Arial" w:hAnsi="Arial" w:cs="Arial"/>
            <w:lang w:val="de-CH"/>
          </w:rPr>
          <w:t>Energieumwandlung</w:t>
        </w:r>
      </w:hyperlink>
      <w:r w:rsidRPr="00732BDE">
        <w:rPr>
          <w:rFonts w:ascii="Arial" w:hAnsi="Arial" w:cs="Arial"/>
          <w:lang w:val="de-CH"/>
        </w:rPr>
        <w:t xml:space="preserve"> von einer schlecht nutzbaren Energieform (thermische Energie) in die besser einsetzbare Energieform mechanischer Energie. Der Stirlingmotor kann mit einer beliebigen äußeren Wärmequelle betrieben werden. Es gibt Modelle, die bereits bei Anfassen durch die Wärme der menschlichen Hand in Gang kommen.</w:t>
      </w:r>
      <w:hyperlink r:id="rId10" w:anchor="cite_note-0" w:history="1"/>
    </w:p>
    <w:p w:rsidR="00320752" w:rsidRPr="00732BDE" w:rsidRDefault="00320752" w:rsidP="00320752">
      <w:pPr>
        <w:spacing w:before="100" w:beforeAutospacing="1" w:after="100" w:afterAutospacing="1" w:line="240" w:lineRule="auto"/>
        <w:rPr>
          <w:rFonts w:ascii="Arial" w:eastAsia="Times New Roman" w:hAnsi="Arial" w:cs="Arial"/>
          <w:lang w:val="de-CH"/>
        </w:rPr>
      </w:pPr>
      <w:r w:rsidRPr="00732BDE">
        <w:rPr>
          <w:rFonts w:ascii="Arial" w:eastAsia="Times New Roman" w:hAnsi="Arial" w:cs="Arial"/>
          <w:lang w:val="de-CH"/>
        </w:rPr>
        <w:t xml:space="preserve">Das Arbeitsgas dehnt sich im erwärmten Bereich aus und zieht sich im kalten Bereich zusammen. Deshalb erzeugt es nutzbare mechanische Arbeit. Eine Stirlingmaschine, die von außen angetrieben wird, arbeitet als </w:t>
      </w:r>
      <w:hyperlink r:id="rId11" w:tooltip="Kältemaschine" w:history="1">
        <w:r w:rsidRPr="00732BDE">
          <w:rPr>
            <w:rFonts w:ascii="Arial" w:eastAsia="Times New Roman" w:hAnsi="Arial" w:cs="Arial"/>
            <w:color w:val="0000FF"/>
            <w:u w:val="single"/>
            <w:lang w:val="de-CH"/>
          </w:rPr>
          <w:t>Kältemaschine</w:t>
        </w:r>
      </w:hyperlink>
      <w:r w:rsidRPr="00732BDE">
        <w:rPr>
          <w:rFonts w:ascii="Arial" w:eastAsia="Times New Roman" w:hAnsi="Arial" w:cs="Arial"/>
          <w:lang w:val="de-CH"/>
        </w:rPr>
        <w:t xml:space="preserve"> bzw. </w:t>
      </w:r>
      <w:hyperlink r:id="rId12" w:tooltip="Wärmepumpe" w:history="1">
        <w:r w:rsidRPr="00732BDE">
          <w:rPr>
            <w:rFonts w:ascii="Arial" w:eastAsia="Times New Roman" w:hAnsi="Arial" w:cs="Arial"/>
            <w:color w:val="0000FF"/>
            <w:u w:val="single"/>
            <w:lang w:val="de-CH"/>
          </w:rPr>
          <w:t>Wärmepumpe</w:t>
        </w:r>
      </w:hyperlink>
      <w:r w:rsidRPr="00732BDE">
        <w:rPr>
          <w:rFonts w:ascii="Arial" w:eastAsia="Times New Roman" w:hAnsi="Arial" w:cs="Arial"/>
          <w:lang w:val="de-CH"/>
        </w:rPr>
        <w:t xml:space="preserve">, jenachdem ob der heiße oder der kalte Bereich genutzt wird. Stirlingmotoren haben typischerweise einen permanent heißen (erhitzten) und einen permanent kalten (gekühlten) Raum, zwischen denen das Arbeitsgas hin und her bewegt wird. In nahezu allen Stirlingmotoren gibt das heiße Arbeitsgas einen Teil seiner Wärmeenergie auf dem Weg zum kalten Raum an einen Speicher, den sogenannten Regenerator ab. Dieser nimmt die Wärme vorübergehend auf und gibt sie wieder an das Gas ab, wenn es vom kalten Raum zurück in den warmen Raum geschoben wird. Der Regenerator verbessert den Wirkungsgrad des Stirlingmotors, er speichert bis zu 80 % der pro Zyklus umgesetzten Wärme. Stirlingmotoren werden in der Regel als Hubkolbenmaschinen ausgeführt, es gibt aber auch </w:t>
      </w:r>
      <w:hyperlink r:id="rId13" w:tooltip="Flachplatten-Stirlingmotor" w:history="1">
        <w:r w:rsidRPr="00732BDE">
          <w:rPr>
            <w:rFonts w:ascii="Arial" w:eastAsia="Times New Roman" w:hAnsi="Arial" w:cs="Arial"/>
            <w:color w:val="0000FF"/>
            <w:u w:val="single"/>
            <w:lang w:val="de-CH"/>
          </w:rPr>
          <w:t>Flachplatten-</w:t>
        </w:r>
      </w:hyperlink>
      <w:r w:rsidRPr="00732BDE">
        <w:rPr>
          <w:rFonts w:ascii="Arial" w:eastAsia="Times New Roman" w:hAnsi="Arial" w:cs="Arial"/>
          <w:lang w:val="de-CH"/>
        </w:rPr>
        <w:t xml:space="preserve">, </w:t>
      </w:r>
      <w:hyperlink r:id="rId14" w:history="1">
        <w:r w:rsidRPr="00732BDE">
          <w:rPr>
            <w:rFonts w:ascii="Arial" w:eastAsia="Times New Roman" w:hAnsi="Arial" w:cs="Arial"/>
            <w:color w:val="0000FF"/>
            <w:u w:val="single"/>
            <w:lang w:val="de-CH"/>
          </w:rPr>
          <w:t>Freikolbenmaschinen</w:t>
        </w:r>
      </w:hyperlink>
      <w:r w:rsidRPr="00732BDE">
        <w:rPr>
          <w:rFonts w:ascii="Arial" w:eastAsia="Times New Roman" w:hAnsi="Arial" w:cs="Arial"/>
          <w:lang w:val="de-CH"/>
        </w:rPr>
        <w:t xml:space="preserve"> und Kreiskolbenmotoren.</w:t>
      </w:r>
    </w:p>
    <w:p w:rsidR="00320752" w:rsidRPr="00732BDE" w:rsidRDefault="00320752" w:rsidP="00320752">
      <w:pPr>
        <w:spacing w:before="100" w:beforeAutospacing="1" w:after="100" w:afterAutospacing="1" w:line="240" w:lineRule="auto"/>
        <w:rPr>
          <w:rFonts w:ascii="Arial" w:eastAsia="Times New Roman" w:hAnsi="Arial" w:cs="Arial"/>
          <w:lang w:val="de-CH"/>
        </w:rPr>
      </w:pPr>
      <w:r w:rsidRPr="00732BDE">
        <w:rPr>
          <w:rFonts w:ascii="Arial" w:eastAsia="Times New Roman" w:hAnsi="Arial" w:cs="Arial"/>
          <w:lang w:val="de-CH"/>
        </w:rPr>
        <w:t>Man unterscheidet zwischen drei Hauptbauarten: dem Alpha-, Beta- und dem Gamma-Typ.</w:t>
      </w:r>
    </w:p>
    <w:p w:rsidR="00320752" w:rsidRPr="00732BDE" w:rsidRDefault="00320752" w:rsidP="00320752">
      <w:pPr>
        <w:numPr>
          <w:ilvl w:val="0"/>
          <w:numId w:val="15"/>
        </w:numPr>
        <w:spacing w:before="100" w:beforeAutospacing="1" w:after="100" w:afterAutospacing="1" w:line="240" w:lineRule="auto"/>
        <w:rPr>
          <w:rFonts w:ascii="Arial" w:eastAsia="Times New Roman" w:hAnsi="Arial" w:cs="Arial"/>
          <w:lang w:val="de-CH"/>
        </w:rPr>
      </w:pPr>
      <w:r w:rsidRPr="00732BDE">
        <w:rPr>
          <w:rFonts w:ascii="Arial" w:eastAsia="Times New Roman" w:hAnsi="Arial" w:cs="Arial"/>
          <w:lang w:val="de-CH"/>
        </w:rPr>
        <w:t>Beim Alpha-Typ sind zwei Kolben (bei der Hubkolbenbauweise) in separaten Zylindern untergebracht und wirken um 90° versetzt auf eine gemeinsame Kurbelwelle. Beide Kolben verrichten also je nach Kurbelwellenposition Arbeit oder sie verdrängen oder verdichten das Gas. Der Regenerator ist unbeweglich und verbindet an der Zylinderkopfseite beide Kolben. Eine verbreitete Bauart ist der doppeltwirkende Vierzylinder-V-Motor, bei dem der Kurbeltrieb vom hohen Druck des Arbeitsgases entlastet wird.</w:t>
      </w:r>
    </w:p>
    <w:p w:rsidR="00320752" w:rsidRPr="00732BDE" w:rsidRDefault="00320752" w:rsidP="00320752">
      <w:pPr>
        <w:numPr>
          <w:ilvl w:val="0"/>
          <w:numId w:val="15"/>
        </w:numPr>
        <w:spacing w:before="100" w:beforeAutospacing="1" w:after="100" w:afterAutospacing="1" w:line="240" w:lineRule="auto"/>
        <w:rPr>
          <w:rFonts w:ascii="Arial" w:eastAsia="Times New Roman" w:hAnsi="Arial" w:cs="Arial"/>
          <w:lang w:val="de-CH"/>
        </w:rPr>
      </w:pPr>
      <w:r w:rsidRPr="00732BDE">
        <w:rPr>
          <w:rFonts w:ascii="Arial" w:eastAsia="Times New Roman" w:hAnsi="Arial" w:cs="Arial"/>
          <w:lang w:val="de-CH"/>
        </w:rPr>
        <w:t>Beta-Typ: Beide Kolben laufen in einem Zylinder, wobei der Verdränger bei kleinen Leistungen als Regenerator wirken kann. Der andere Kolben ist der Arbeitskolben, wandelt thermische Energie in Arbeit um und schließt den Arbeitsraum ab.</w:t>
      </w:r>
    </w:p>
    <w:p w:rsidR="00320752" w:rsidRPr="00732BDE" w:rsidRDefault="00320752" w:rsidP="00320752">
      <w:pPr>
        <w:numPr>
          <w:ilvl w:val="0"/>
          <w:numId w:val="15"/>
        </w:numPr>
        <w:spacing w:before="100" w:beforeAutospacing="1" w:after="100" w:afterAutospacing="1" w:line="240" w:lineRule="auto"/>
        <w:rPr>
          <w:rFonts w:ascii="Arial" w:eastAsia="Times New Roman" w:hAnsi="Arial" w:cs="Arial"/>
          <w:lang w:val="de-CH"/>
        </w:rPr>
      </w:pPr>
      <w:r w:rsidRPr="00732BDE">
        <w:rPr>
          <w:rFonts w:ascii="Arial" w:eastAsia="Times New Roman" w:hAnsi="Arial" w:cs="Arial"/>
          <w:lang w:val="de-CH"/>
        </w:rPr>
        <w:t>Beim Gamma-Typ sind Arbeits- und Verdrängerkolben in verschiedenen miteinander verbundenen Zylindern untergebracht.</w:t>
      </w:r>
    </w:p>
    <w:sectPr w:rsidR="00320752" w:rsidRPr="00732BDE" w:rsidSect="00607E62">
      <w:headerReference w:type="default" r:id="rId15"/>
      <w:footerReference w:type="default" r:id="rId16"/>
      <w:pgSz w:w="11906" w:h="16838" w:code="9"/>
      <w:pgMar w:top="1418" w:right="851" w:bottom="851" w:left="1418"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B1" w:rsidRDefault="009166B1">
      <w:r>
        <w:separator/>
      </w:r>
    </w:p>
  </w:endnote>
  <w:endnote w:type="continuationSeparator" w:id="0">
    <w:p w:rsidR="009166B1" w:rsidRDefault="00916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62" w:rsidRPr="00320752" w:rsidRDefault="00607E62" w:rsidP="00607E62">
    <w:pPr>
      <w:pStyle w:val="Fuzeile"/>
      <w:pBdr>
        <w:top w:val="single" w:sz="4" w:space="1" w:color="auto"/>
      </w:pBdr>
      <w:tabs>
        <w:tab w:val="clear" w:pos="4536"/>
        <w:tab w:val="clear" w:pos="9072"/>
        <w:tab w:val="left" w:pos="5103"/>
        <w:tab w:val="right" w:pos="9639"/>
      </w:tabs>
      <w:rPr>
        <w:sz w:val="14"/>
        <w:szCs w:val="14"/>
        <w:lang w:val="de-CH"/>
      </w:rPr>
    </w:pPr>
    <w:r w:rsidRPr="00320752">
      <w:rPr>
        <w:sz w:val="14"/>
        <w:szCs w:val="14"/>
        <w:lang w:val="de-CH"/>
      </w:rPr>
      <w:t>Eine Institution des Kantons Bern</w:t>
    </w:r>
    <w:r w:rsidRPr="00320752">
      <w:rPr>
        <w:sz w:val="14"/>
        <w:szCs w:val="14"/>
        <w:lang w:val="de-CH"/>
      </w:rPr>
      <w:tab/>
      <w:t>www.bfemmental.ch</w:t>
    </w:r>
    <w:r w:rsidRPr="00320752">
      <w:rPr>
        <w:sz w:val="14"/>
        <w:szCs w:val="14"/>
        <w:lang w:val="de-CH"/>
      </w:rPr>
      <w:tab/>
      <w:t>info@bfemmental.ch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B1" w:rsidRDefault="009166B1">
      <w:r>
        <w:separator/>
      </w:r>
    </w:p>
  </w:footnote>
  <w:footnote w:type="continuationSeparator" w:id="0">
    <w:p w:rsidR="009166B1" w:rsidRDefault="00916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439"/>
    </w:tblGrid>
    <w:tr w:rsidR="00574D72" w:rsidRPr="00320752" w:rsidTr="00320752">
      <w:trPr>
        <w:cantSplit/>
        <w:trHeight w:val="274"/>
      </w:trPr>
      <w:tc>
        <w:tcPr>
          <w:tcW w:w="2338" w:type="dxa"/>
          <w:vMerge w:val="restart"/>
          <w:shd w:val="clear" w:color="auto" w:fill="auto"/>
          <w:vAlign w:val="center"/>
        </w:tcPr>
        <w:p w:rsidR="00574D72" w:rsidRPr="00320752" w:rsidRDefault="008A68AF" w:rsidP="00320752">
          <w:pPr>
            <w:pStyle w:val="Kopfzeile"/>
            <w:spacing w:after="0"/>
            <w:jc w:val="center"/>
            <w:rPr>
              <w:lang w:val="de-CH"/>
            </w:rPr>
          </w:pPr>
          <w:r w:rsidRPr="00320752">
            <w:rPr>
              <w:noProof/>
              <w:lang w:val="de-DE" w:eastAsia="de-DE"/>
            </w:rPr>
            <w:drawing>
              <wp:anchor distT="0" distB="0" distL="114300" distR="114300" simplePos="0" relativeHeight="251657728" behindDoc="0" locked="0" layoutInCell="1" allowOverlap="1">
                <wp:simplePos x="0" y="0"/>
                <wp:positionH relativeFrom="column">
                  <wp:posOffset>-31115</wp:posOffset>
                </wp:positionH>
                <wp:positionV relativeFrom="paragraph">
                  <wp:posOffset>90170</wp:posOffset>
                </wp:positionV>
                <wp:extent cx="1440180" cy="353060"/>
                <wp:effectExtent l="19050" t="0" r="7620" b="0"/>
                <wp:wrapNone/>
                <wp:docPr id="3" name="Bild 3" descr="lay_bfe_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_bfe_02c"/>
                        <pic:cNvPicPr>
                          <a:picLocks noChangeAspect="1" noChangeArrowheads="1"/>
                        </pic:cNvPicPr>
                      </pic:nvPicPr>
                      <pic:blipFill>
                        <a:blip r:embed="rId1"/>
                        <a:srcRect/>
                        <a:stretch>
                          <a:fillRect/>
                        </a:stretch>
                      </pic:blipFill>
                      <pic:spPr bwMode="auto">
                        <a:xfrm rot="-21600000">
                          <a:off x="0" y="0"/>
                          <a:ext cx="1440180" cy="353060"/>
                        </a:xfrm>
                        <a:prstGeom prst="rect">
                          <a:avLst/>
                        </a:prstGeom>
                        <a:noFill/>
                        <a:ln w="9525">
                          <a:noFill/>
                          <a:miter lim="800000"/>
                          <a:headEnd/>
                          <a:tailEnd/>
                        </a:ln>
                      </pic:spPr>
                    </pic:pic>
                  </a:graphicData>
                </a:graphic>
              </wp:anchor>
            </w:drawing>
          </w:r>
        </w:p>
      </w:tc>
      <w:tc>
        <w:tcPr>
          <w:tcW w:w="7439" w:type="dxa"/>
          <w:shd w:val="clear" w:color="auto" w:fill="auto"/>
        </w:tcPr>
        <w:p w:rsidR="00574D72" w:rsidRPr="00320752" w:rsidRDefault="001D5FAF" w:rsidP="00320752">
          <w:pPr>
            <w:pStyle w:val="Kopfzeile"/>
            <w:tabs>
              <w:tab w:val="clear" w:pos="4536"/>
              <w:tab w:val="clear" w:pos="9072"/>
              <w:tab w:val="right" w:pos="7018"/>
            </w:tabs>
            <w:spacing w:before="120" w:after="0"/>
            <w:ind w:left="214"/>
            <w:rPr>
              <w:b/>
              <w:lang w:val="de-CH"/>
            </w:rPr>
          </w:pPr>
          <w:r w:rsidRPr="00320752">
            <w:rPr>
              <w:rFonts w:ascii="Arial" w:hAnsi="Arial" w:cs="Arial"/>
              <w:b/>
              <w:lang w:val="de-CH"/>
            </w:rPr>
            <w:t>Flemo – aus dem Kopf auf den Tisch</w:t>
          </w:r>
          <w:r w:rsidR="00607E62" w:rsidRPr="00320752">
            <w:rPr>
              <w:b/>
              <w:lang w:val="de-CH"/>
            </w:rPr>
            <w:tab/>
          </w:r>
          <w:r w:rsidRPr="00320752">
            <w:rPr>
              <w:rFonts w:ascii="Arial" w:hAnsi="Arial" w:cs="Arial"/>
              <w:b/>
              <w:lang w:val="de-CH"/>
            </w:rPr>
            <w:t>Arbeitsauftrag</w:t>
          </w:r>
        </w:p>
      </w:tc>
    </w:tr>
    <w:tr w:rsidR="00574D72" w:rsidRPr="00320752">
      <w:trPr>
        <w:cantSplit/>
        <w:trHeight w:val="427"/>
      </w:trPr>
      <w:tc>
        <w:tcPr>
          <w:tcW w:w="2338" w:type="dxa"/>
          <w:vMerge/>
          <w:shd w:val="clear" w:color="auto" w:fill="auto"/>
        </w:tcPr>
        <w:p w:rsidR="00574D72" w:rsidRPr="00320752" w:rsidRDefault="00574D72" w:rsidP="00320752">
          <w:pPr>
            <w:pStyle w:val="Kopfzeile"/>
            <w:spacing w:after="0"/>
            <w:rPr>
              <w:lang w:val="de-CH"/>
            </w:rPr>
          </w:pPr>
        </w:p>
      </w:tc>
      <w:tc>
        <w:tcPr>
          <w:tcW w:w="7439" w:type="dxa"/>
          <w:shd w:val="clear" w:color="auto" w:fill="auto"/>
        </w:tcPr>
        <w:p w:rsidR="00574D72" w:rsidRPr="00320752" w:rsidRDefault="001D5FAF" w:rsidP="00320752">
          <w:pPr>
            <w:pStyle w:val="Kopfzeile"/>
            <w:tabs>
              <w:tab w:val="clear" w:pos="4536"/>
              <w:tab w:val="clear" w:pos="9072"/>
              <w:tab w:val="right" w:pos="7018"/>
            </w:tabs>
            <w:spacing w:before="120" w:after="0"/>
            <w:ind w:left="214"/>
            <w:rPr>
              <w:rFonts w:ascii="Arial" w:hAnsi="Arial" w:cs="Arial"/>
              <w:b/>
              <w:lang w:val="de-CH"/>
            </w:rPr>
          </w:pPr>
          <w:r w:rsidRPr="00320752">
            <w:rPr>
              <w:rFonts w:ascii="Arial" w:hAnsi="Arial" w:cs="Arial"/>
              <w:b/>
              <w:lang w:val="de-CH"/>
            </w:rPr>
            <w:t>Sterlingmotor</w:t>
          </w:r>
          <w:r w:rsidR="00607E62" w:rsidRPr="00320752">
            <w:rPr>
              <w:rFonts w:ascii="Arial" w:hAnsi="Arial" w:cs="Arial"/>
              <w:b/>
              <w:lang w:val="de-CH"/>
            </w:rPr>
            <w:tab/>
          </w:r>
          <w:r w:rsidRPr="00320752">
            <w:rPr>
              <w:rFonts w:ascii="Arial" w:hAnsi="Arial" w:cs="Arial"/>
              <w:b/>
              <w:lang w:val="de-CH"/>
            </w:rPr>
            <w:t>10.5.10, ss</w:t>
          </w:r>
        </w:p>
      </w:tc>
    </w:tr>
  </w:tbl>
  <w:p w:rsidR="005666A4" w:rsidRPr="00607E62" w:rsidRDefault="005666A4">
    <w:pPr>
      <w:pStyle w:val="Kopfzeile"/>
      <w:rPr>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806"/>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
    <w:nsid w:val="065B11B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nsid w:val="0AFB039E"/>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3">
    <w:nsid w:val="164B626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nsid w:val="1A765A88"/>
    <w:multiLevelType w:val="singleLevel"/>
    <w:tmpl w:val="87044B98"/>
    <w:lvl w:ilvl="0">
      <w:start w:val="1"/>
      <w:numFmt w:val="bullet"/>
      <w:lvlText w:val=""/>
      <w:lvlJc w:val="left"/>
      <w:pPr>
        <w:tabs>
          <w:tab w:val="num" w:pos="360"/>
        </w:tabs>
        <w:ind w:left="360" w:hanging="360"/>
      </w:pPr>
      <w:rPr>
        <w:rFonts w:ascii="Wingdings" w:hAnsi="Wingdings" w:hint="default"/>
      </w:rPr>
    </w:lvl>
  </w:abstractNum>
  <w:abstractNum w:abstractNumId="5">
    <w:nsid w:val="25F274EA"/>
    <w:multiLevelType w:val="singleLevel"/>
    <w:tmpl w:val="78D290FC"/>
    <w:lvl w:ilvl="0">
      <w:start w:val="1"/>
      <w:numFmt w:val="bullet"/>
      <w:lvlText w:val=""/>
      <w:lvlJc w:val="left"/>
      <w:pPr>
        <w:tabs>
          <w:tab w:val="num" w:pos="360"/>
        </w:tabs>
        <w:ind w:left="360" w:hanging="360"/>
      </w:pPr>
      <w:rPr>
        <w:rFonts w:ascii="Symbol" w:hAnsi="Symbol" w:hint="default"/>
      </w:rPr>
    </w:lvl>
  </w:abstractNum>
  <w:abstractNum w:abstractNumId="6">
    <w:nsid w:val="2DFB2F9C"/>
    <w:multiLevelType w:val="hybridMultilevel"/>
    <w:tmpl w:val="867A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708A9"/>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8">
    <w:nsid w:val="3FC524E2"/>
    <w:multiLevelType w:val="multilevel"/>
    <w:tmpl w:val="1296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34A87"/>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0">
    <w:nsid w:val="5A24548A"/>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1">
    <w:nsid w:val="5C09062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nsid w:val="5E564123"/>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3">
    <w:nsid w:val="5EBF1F4E"/>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4">
    <w:nsid w:val="652F77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7D7969FE"/>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0"/>
  </w:num>
  <w:num w:numId="4">
    <w:abstractNumId w:val="9"/>
  </w:num>
  <w:num w:numId="5">
    <w:abstractNumId w:val="13"/>
  </w:num>
  <w:num w:numId="6">
    <w:abstractNumId w:val="7"/>
  </w:num>
  <w:num w:numId="7">
    <w:abstractNumId w:val="4"/>
  </w:num>
  <w:num w:numId="8">
    <w:abstractNumId w:val="10"/>
  </w:num>
  <w:num w:numId="9">
    <w:abstractNumId w:val="15"/>
  </w:num>
  <w:num w:numId="10">
    <w:abstractNumId w:val="5"/>
  </w:num>
  <w:num w:numId="11">
    <w:abstractNumId w:val="1"/>
  </w:num>
  <w:num w:numId="12">
    <w:abstractNumId w:val="3"/>
  </w:num>
  <w:num w:numId="13">
    <w:abstractNumId w:val="11"/>
  </w:num>
  <w:num w:numId="14">
    <w:abstractNumId w:val="1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1D5FAF"/>
    <w:rsid w:val="00040FF7"/>
    <w:rsid w:val="00094333"/>
    <w:rsid w:val="00162BE8"/>
    <w:rsid w:val="001D5FAF"/>
    <w:rsid w:val="001E1866"/>
    <w:rsid w:val="00214965"/>
    <w:rsid w:val="00230661"/>
    <w:rsid w:val="002543F8"/>
    <w:rsid w:val="0027591B"/>
    <w:rsid w:val="002D1A12"/>
    <w:rsid w:val="00320752"/>
    <w:rsid w:val="003768FF"/>
    <w:rsid w:val="003951E1"/>
    <w:rsid w:val="003A15EF"/>
    <w:rsid w:val="00431DD2"/>
    <w:rsid w:val="005666A4"/>
    <w:rsid w:val="00574D72"/>
    <w:rsid w:val="00574FE0"/>
    <w:rsid w:val="005B3ABB"/>
    <w:rsid w:val="005C0880"/>
    <w:rsid w:val="006046F9"/>
    <w:rsid w:val="00607E62"/>
    <w:rsid w:val="006A4903"/>
    <w:rsid w:val="006F431C"/>
    <w:rsid w:val="00723A66"/>
    <w:rsid w:val="00732BDE"/>
    <w:rsid w:val="007671B4"/>
    <w:rsid w:val="00790A04"/>
    <w:rsid w:val="008A68AF"/>
    <w:rsid w:val="008B6FA5"/>
    <w:rsid w:val="008F749F"/>
    <w:rsid w:val="00915AFC"/>
    <w:rsid w:val="009166B1"/>
    <w:rsid w:val="00923B20"/>
    <w:rsid w:val="00960117"/>
    <w:rsid w:val="00B37D2D"/>
    <w:rsid w:val="00B553B1"/>
    <w:rsid w:val="00CD55FF"/>
    <w:rsid w:val="00CD5DBE"/>
    <w:rsid w:val="00D8177A"/>
    <w:rsid w:val="00E16FFD"/>
    <w:rsid w:val="00E26422"/>
    <w:rsid w:val="00F03AE7"/>
    <w:rsid w:val="00F909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752"/>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qFormat/>
    <w:rsid w:val="00790A04"/>
    <w:pPr>
      <w:keepNext/>
      <w:spacing w:line="360" w:lineRule="auto"/>
      <w:jc w:val="center"/>
      <w:outlineLvl w:val="0"/>
    </w:pPr>
    <w:rPr>
      <w:b/>
      <w:sz w:val="20"/>
    </w:rPr>
  </w:style>
  <w:style w:type="paragraph" w:styleId="berschrift2">
    <w:name w:val="heading 2"/>
    <w:basedOn w:val="Standard"/>
    <w:next w:val="Standard"/>
    <w:qFormat/>
    <w:rsid w:val="00790A04"/>
    <w:pPr>
      <w:keepNext/>
      <w:jc w:val="center"/>
      <w:outlineLvl w:val="1"/>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90A04"/>
    <w:pPr>
      <w:tabs>
        <w:tab w:val="center" w:pos="4536"/>
        <w:tab w:val="right" w:pos="9072"/>
      </w:tabs>
    </w:pPr>
  </w:style>
  <w:style w:type="paragraph" w:styleId="Fuzeile">
    <w:name w:val="footer"/>
    <w:basedOn w:val="Standard"/>
    <w:rsid w:val="00790A04"/>
    <w:pPr>
      <w:tabs>
        <w:tab w:val="center" w:pos="4536"/>
        <w:tab w:val="right" w:pos="9072"/>
      </w:tabs>
    </w:pPr>
  </w:style>
  <w:style w:type="character" w:styleId="Seitenzahl">
    <w:name w:val="page number"/>
    <w:basedOn w:val="Absatz-Standardschriftart"/>
    <w:rsid w:val="00790A04"/>
  </w:style>
  <w:style w:type="paragraph" w:styleId="Textkrper">
    <w:name w:val="Body Text"/>
    <w:basedOn w:val="Standard"/>
    <w:rsid w:val="00790A04"/>
    <w:rPr>
      <w:sz w:val="20"/>
    </w:rPr>
  </w:style>
  <w:style w:type="paragraph" w:styleId="Sprechblasentext">
    <w:name w:val="Balloon Text"/>
    <w:basedOn w:val="Standard"/>
    <w:semiHidden/>
    <w:rsid w:val="007671B4"/>
    <w:rPr>
      <w:rFonts w:ascii="Tahoma" w:hAnsi="Tahoma" w:cs="Tahoma"/>
      <w:sz w:val="16"/>
      <w:szCs w:val="16"/>
    </w:rPr>
  </w:style>
  <w:style w:type="character" w:styleId="Hyperlink">
    <w:name w:val="Hyperlink"/>
    <w:basedOn w:val="Absatz-Standardschriftart"/>
    <w:uiPriority w:val="99"/>
    <w:rsid w:val="00574D72"/>
    <w:rPr>
      <w:color w:val="0000FF"/>
      <w:u w:val="single"/>
    </w:rPr>
  </w:style>
  <w:style w:type="paragraph" w:styleId="Listenabsatz">
    <w:name w:val="List Paragraph"/>
    <w:basedOn w:val="Standard"/>
    <w:uiPriority w:val="34"/>
    <w:qFormat/>
    <w:rsid w:val="00732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Thermodynamischer_Kreisprozess" TargetMode="External"/><Relationship Id="rId13" Type="http://schemas.openxmlformats.org/officeDocument/2006/relationships/hyperlink" Target="http://de.wikipedia.org/wiki/Flachplatten-Stirlingmo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wikipedia.org/wiki/W%C3%A4rmekraftmaschine" TargetMode="External"/><Relationship Id="rId12" Type="http://schemas.openxmlformats.org/officeDocument/2006/relationships/hyperlink" Target="http://de.wikipedia.org/wiki/W%C3%A4rmepu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K%C3%A4ltemaschi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e.wikipedia.org/wiki/Stirlingmotor" TargetMode="External"/><Relationship Id="rId4" Type="http://schemas.openxmlformats.org/officeDocument/2006/relationships/webSettings" Target="webSettings.xml"/><Relationship Id="rId9" Type="http://schemas.openxmlformats.org/officeDocument/2006/relationships/hyperlink" Target="http://de.wikipedia.org/wiki/Energieumwandlung" TargetMode="External"/><Relationship Id="rId14" Type="http://schemas.openxmlformats.org/officeDocument/2006/relationships/hyperlink" Target="http://www.tga-praxis.de/fileadmin/user_upload/PDFs/Artikel/GT0809_energie_mikro-bhkws_mit_stirlingmot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am\LOKALE~1\Temp\BFE-Arbeitsblatt-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BFE-Arbeitsblatt-2.dot</Template>
  <TotalTime>0</TotalTime>
  <Pages>1</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Ziel / Zweck:</vt:lpstr>
    </vt:vector>
  </TitlesOfParts>
  <Company>MST Meilen</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 / Zweck:</dc:title>
  <dc:subject/>
  <dc:creator>samuel schüpbach</dc:creator>
  <cp:keywords/>
  <cp:lastModifiedBy> </cp:lastModifiedBy>
  <cp:revision>4</cp:revision>
  <cp:lastPrinted>2005-11-29T15:43:00Z</cp:lastPrinted>
  <dcterms:created xsi:type="dcterms:W3CDTF">2010-05-09T18:28:00Z</dcterms:created>
  <dcterms:modified xsi:type="dcterms:W3CDTF">2010-05-10T14:17:00Z</dcterms:modified>
</cp:coreProperties>
</file>